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EE00D">
      <w:pPr>
        <w:pStyle w:val="3"/>
        <w:jc w:val="center"/>
      </w:pPr>
      <w:r>
        <w:rPr>
          <w:rFonts w:hint="eastAsia" w:ascii="方正小标宋简体" w:hAnsi="方正小标宋简体" w:eastAsia="方正小标宋简体" w:cs="方正小标宋简体"/>
          <w:b w:val="0"/>
          <w:bCs w:val="0"/>
          <w:kern w:val="0"/>
          <w:sz w:val="48"/>
          <w:szCs w:val="48"/>
          <w:lang w:val="en-US" w:eastAsia="zh-CN" w:bidi="ar"/>
        </w:rPr>
        <w:t>智慧城市管理技术微专业招生简章</w:t>
      </w:r>
    </w:p>
    <w:p w14:paraId="716D3501">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pPr>
      <w:r>
        <w:t>一、微专业简介</w:t>
      </w:r>
    </w:p>
    <w:p w14:paraId="6ADCE2EF">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pPr>
      <w:r>
        <w:rPr>
          <w:rFonts w:hint="eastAsia" w:ascii="仿宋_GB2312" w:hAnsi="宋体" w:eastAsia="仿宋_GB2312" w:cs="仿宋_GB2312"/>
          <w:b w:val="0"/>
          <w:bCs w:val="0"/>
          <w:color w:val="000000"/>
          <w:kern w:val="0"/>
          <w:sz w:val="32"/>
          <w:szCs w:val="32"/>
          <w:lang w:val="en-US" w:eastAsia="zh-CN" w:bidi="ar"/>
        </w:rPr>
        <w:t>智慧城市管理技术微专业面向城市数字化转型与新型城镇化建设战略需求，致力于培养具备智慧城市管理领域核心技术与综合能力的复合型技术技能人才。学生需掌握城市信息模型（CIM）建模、地理信息系统（GIS）应用、摄影测量与遥感、市政基础设施智能管理、城市社区网格化治理及智慧城市运营等关键技术，熟悉智慧城市政策法规、数据采集与处理流程、城市管理数字化平台操作；能够胜任城市信息模型创建、无人机摄影测量、GIS数据分析、智慧社区管理、市政设施智能监测等岗位工作，并可适应技术迭代，参与智慧城市应用场景的研发与优化。毕业生可服务于城市规划部门、信息技术公司、智慧社区运营机构、市政管理单位等领域，从事CIM建模员、GIS技术员、无人机航测员、城市管理网格员、智慧城市运营专员等岗位，助力城市治理向数字化、网络化、智能化转型，同时可考取建筑信息模型（BIM）等职业技能证书。</w:t>
      </w:r>
    </w:p>
    <w:p w14:paraId="6F7582A4">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pPr>
      <w:r>
        <w:t>二、专业设置及招生计划</w:t>
      </w:r>
    </w:p>
    <w:p w14:paraId="51BDD972">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（一）专业设置</w:t>
      </w:r>
    </w:p>
    <w:p w14:paraId="1787B9FB">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default" w:ascii="仿宋_GB2312" w:hAnsi="宋体" w:eastAsia="仿宋_GB2312" w:cs="仿宋_GB2312"/>
          <w:b w:val="0"/>
          <w:bCs w:val="0"/>
          <w:color w:val="000000"/>
          <w:kern w:val="0"/>
          <w:sz w:val="32"/>
          <w:szCs w:val="32"/>
          <w:lang w:val="en-US" w:eastAsia="zh-CN" w:bidi="ar"/>
        </w:rPr>
      </w:pPr>
      <w:r>
        <w:rPr>
          <w:rFonts w:hint="default" w:ascii="仿宋_GB2312" w:hAnsi="宋体" w:eastAsia="仿宋_GB2312" w:cs="仿宋_GB2312"/>
          <w:b w:val="0"/>
          <w:bCs w:val="0"/>
          <w:color w:val="000000"/>
          <w:kern w:val="0"/>
          <w:sz w:val="32"/>
          <w:szCs w:val="32"/>
          <w:lang w:val="en-US" w:eastAsia="zh-CN" w:bidi="ar"/>
        </w:rPr>
        <w:t>该专业课程涵盖《智慧城市导论与政策》</w:t>
      </w:r>
      <w:r>
        <w:rPr>
          <w:rFonts w:hint="eastAsia" w:ascii="仿宋_GB2312" w:hAnsi="宋体" w:eastAsia="仿宋_GB2312" w:cs="仿宋_GB2312"/>
          <w:b w:val="0"/>
          <w:bCs w:val="0"/>
          <w:color w:val="000000"/>
          <w:kern w:val="0"/>
          <w:sz w:val="32"/>
          <w:szCs w:val="32"/>
          <w:lang w:val="en-US" w:eastAsia="zh-CN" w:bidi="ar"/>
        </w:rPr>
        <w:t>、</w:t>
      </w:r>
      <w:r>
        <w:rPr>
          <w:rFonts w:hint="default" w:ascii="仿宋_GB2312" w:hAnsi="宋体" w:eastAsia="仿宋_GB2312" w:cs="仿宋_GB2312"/>
          <w:b w:val="0"/>
          <w:bCs w:val="0"/>
          <w:color w:val="000000"/>
          <w:kern w:val="0"/>
          <w:sz w:val="32"/>
          <w:szCs w:val="32"/>
          <w:lang w:val="en-US" w:eastAsia="zh-CN" w:bidi="ar"/>
        </w:rPr>
        <w:t>《城市信息模型（CIM）技术与应用》</w:t>
      </w:r>
      <w:r>
        <w:rPr>
          <w:rFonts w:hint="eastAsia" w:ascii="仿宋_GB2312" w:hAnsi="宋体" w:eastAsia="仿宋_GB2312" w:cs="仿宋_GB2312"/>
          <w:b w:val="0"/>
          <w:bCs w:val="0"/>
          <w:color w:val="000000"/>
          <w:kern w:val="0"/>
          <w:sz w:val="32"/>
          <w:szCs w:val="32"/>
          <w:lang w:val="en-US" w:eastAsia="zh-CN" w:bidi="ar"/>
        </w:rPr>
        <w:t>、</w:t>
      </w:r>
      <w:r>
        <w:rPr>
          <w:rFonts w:hint="default" w:ascii="仿宋_GB2312" w:hAnsi="宋体" w:eastAsia="仿宋_GB2312" w:cs="仿宋_GB2312"/>
          <w:b w:val="0"/>
          <w:bCs w:val="0"/>
          <w:color w:val="000000"/>
          <w:kern w:val="0"/>
          <w:sz w:val="32"/>
          <w:szCs w:val="32"/>
          <w:lang w:val="en-US" w:eastAsia="zh-CN" w:bidi="ar"/>
        </w:rPr>
        <w:t>《地理信息系统（GIS）技术与应用》</w:t>
      </w:r>
      <w:r>
        <w:rPr>
          <w:rFonts w:hint="eastAsia" w:ascii="仿宋_GB2312" w:hAnsi="宋体" w:eastAsia="仿宋_GB2312" w:cs="仿宋_GB2312"/>
          <w:b w:val="0"/>
          <w:bCs w:val="0"/>
          <w:color w:val="000000"/>
          <w:kern w:val="0"/>
          <w:sz w:val="32"/>
          <w:szCs w:val="32"/>
          <w:lang w:val="en-US" w:eastAsia="zh-CN" w:bidi="ar"/>
        </w:rPr>
        <w:t>、</w:t>
      </w:r>
      <w:r>
        <w:rPr>
          <w:rFonts w:hint="default" w:ascii="仿宋_GB2312" w:hAnsi="宋体" w:eastAsia="仿宋_GB2312" w:cs="仿宋_GB2312"/>
          <w:b w:val="0"/>
          <w:bCs w:val="0"/>
          <w:color w:val="000000"/>
          <w:kern w:val="0"/>
          <w:sz w:val="32"/>
          <w:szCs w:val="32"/>
          <w:lang w:val="en-US" w:eastAsia="zh-CN" w:bidi="ar"/>
        </w:rPr>
        <w:t>《城市社区网格化管理实训》</w:t>
      </w:r>
      <w:r>
        <w:rPr>
          <w:rFonts w:hint="eastAsia" w:ascii="仿宋_GB2312" w:hAnsi="宋体" w:eastAsia="仿宋_GB2312" w:cs="仿宋_GB2312"/>
          <w:b w:val="0"/>
          <w:bCs w:val="0"/>
          <w:color w:val="000000"/>
          <w:kern w:val="0"/>
          <w:sz w:val="32"/>
          <w:szCs w:val="32"/>
          <w:lang w:val="en-US" w:eastAsia="zh-CN" w:bidi="ar"/>
        </w:rPr>
        <w:t>4</w:t>
      </w:r>
      <w:r>
        <w:rPr>
          <w:rFonts w:hint="default" w:ascii="仿宋_GB2312" w:hAnsi="宋体" w:eastAsia="仿宋_GB2312" w:cs="仿宋_GB2312"/>
          <w:b w:val="0"/>
          <w:bCs w:val="0"/>
          <w:color w:val="000000"/>
          <w:kern w:val="0"/>
          <w:sz w:val="32"/>
          <w:szCs w:val="32"/>
          <w:lang w:val="en-US" w:eastAsia="zh-CN" w:bidi="ar"/>
        </w:rPr>
        <w:t>门核心课程，共1</w:t>
      </w:r>
      <w:r>
        <w:rPr>
          <w:rFonts w:hint="eastAsia" w:ascii="仿宋_GB2312" w:hAnsi="宋体" w:eastAsia="仿宋_GB2312" w:cs="仿宋_GB2312"/>
          <w:b w:val="0"/>
          <w:bCs w:val="0"/>
          <w:color w:val="000000"/>
          <w:kern w:val="0"/>
          <w:sz w:val="32"/>
          <w:szCs w:val="32"/>
          <w:lang w:val="en-US" w:eastAsia="zh-CN" w:bidi="ar"/>
        </w:rPr>
        <w:t>2</w:t>
      </w:r>
      <w:r>
        <w:rPr>
          <w:rFonts w:hint="default" w:ascii="仿宋_GB2312" w:hAnsi="宋体" w:eastAsia="仿宋_GB2312" w:cs="仿宋_GB2312"/>
          <w:b w:val="0"/>
          <w:bCs w:val="0"/>
          <w:color w:val="000000"/>
          <w:kern w:val="0"/>
          <w:sz w:val="32"/>
          <w:szCs w:val="32"/>
          <w:lang w:val="en-US" w:eastAsia="zh-CN" w:bidi="ar"/>
        </w:rPr>
        <w:t>学分，具体课程信息如下表：</w:t>
      </w:r>
    </w:p>
    <w:p w14:paraId="499ACDB3">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default" w:ascii="仿宋_GB2312" w:hAnsi="宋体" w:eastAsia="仿宋_GB2312" w:cs="仿宋_GB2312"/>
          <w:b w:val="0"/>
          <w:bCs w:val="0"/>
          <w:color w:val="000000"/>
          <w:kern w:val="0"/>
          <w:sz w:val="32"/>
          <w:szCs w:val="32"/>
          <w:lang w:val="en-US" w:eastAsia="zh-CN" w:bidi="ar"/>
        </w:rPr>
      </w:pPr>
    </w:p>
    <w:tbl>
      <w:tblPr>
        <w:tblStyle w:val="7"/>
        <w:tblW w:w="0" w:type="auto"/>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autofit"/>
        <w:tblCellMar>
          <w:top w:w="0" w:type="dxa"/>
          <w:left w:w="10" w:type="dxa"/>
          <w:bottom w:w="0" w:type="dxa"/>
          <w:right w:w="10" w:type="dxa"/>
        </w:tblCellMar>
      </w:tblPr>
      <w:tblGrid>
        <w:gridCol w:w="1358"/>
        <w:gridCol w:w="971"/>
        <w:gridCol w:w="692"/>
        <w:gridCol w:w="1642"/>
        <w:gridCol w:w="1791"/>
        <w:gridCol w:w="1209"/>
        <w:gridCol w:w="1603"/>
      </w:tblGrid>
      <w:tr w14:paraId="216AB4AF">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499A45DE">
            <w:pPr>
              <w:pStyle w:val="11"/>
              <w:jc w:val="center"/>
              <w:rPr>
                <w:rFonts w:hint="eastAsia" w:ascii="仿宋" w:hAnsi="仿宋" w:eastAsia="仿宋" w:cs="仿宋"/>
                <w:b/>
                <w:bCs/>
                <w:sz w:val="21"/>
                <w:szCs w:val="21"/>
              </w:rPr>
            </w:pPr>
            <w:r>
              <w:rPr>
                <w:rFonts w:hint="eastAsia" w:ascii="仿宋" w:hAnsi="仿宋" w:eastAsia="仿宋" w:cs="仿宋"/>
                <w:b/>
                <w:bCs/>
                <w:sz w:val="21"/>
                <w:szCs w:val="21"/>
              </w:rPr>
              <w:t>课程名称</w:t>
            </w:r>
          </w:p>
        </w:tc>
        <w:tc>
          <w:tcPr>
            <w:tcW w:w="971" w:type="dxa"/>
            <w:tcBorders>
              <w:tl2br w:val="nil"/>
              <w:tr2bl w:val="nil"/>
            </w:tcBorders>
            <w:tcMar>
              <w:top w:w="60" w:type="dxa"/>
              <w:left w:w="120" w:type="dxa"/>
              <w:bottom w:w="30" w:type="dxa"/>
              <w:right w:w="120" w:type="dxa"/>
            </w:tcMar>
          </w:tcPr>
          <w:p w14:paraId="74E65CDE">
            <w:pPr>
              <w:pStyle w:val="11"/>
              <w:jc w:val="center"/>
              <w:rPr>
                <w:rFonts w:hint="eastAsia" w:ascii="仿宋" w:hAnsi="仿宋" w:eastAsia="仿宋" w:cs="仿宋"/>
                <w:b/>
                <w:bCs/>
                <w:sz w:val="21"/>
                <w:szCs w:val="21"/>
              </w:rPr>
            </w:pPr>
            <w:r>
              <w:rPr>
                <w:rFonts w:hint="eastAsia" w:ascii="仿宋" w:hAnsi="仿宋" w:eastAsia="仿宋" w:cs="仿宋"/>
                <w:b/>
                <w:bCs/>
                <w:sz w:val="21"/>
                <w:szCs w:val="21"/>
              </w:rPr>
              <w:t>总学时</w:t>
            </w:r>
          </w:p>
        </w:tc>
        <w:tc>
          <w:tcPr>
            <w:tcW w:w="692" w:type="dxa"/>
            <w:tcBorders>
              <w:tl2br w:val="nil"/>
              <w:tr2bl w:val="nil"/>
            </w:tcBorders>
            <w:tcMar>
              <w:top w:w="60" w:type="dxa"/>
              <w:left w:w="120" w:type="dxa"/>
              <w:bottom w:w="30" w:type="dxa"/>
              <w:right w:w="120" w:type="dxa"/>
            </w:tcMar>
          </w:tcPr>
          <w:p w14:paraId="0640722C">
            <w:pPr>
              <w:pStyle w:val="11"/>
              <w:jc w:val="center"/>
              <w:rPr>
                <w:rFonts w:hint="eastAsia" w:ascii="仿宋" w:hAnsi="仿宋" w:eastAsia="仿宋" w:cs="仿宋"/>
                <w:b/>
                <w:bCs/>
                <w:sz w:val="21"/>
                <w:szCs w:val="21"/>
              </w:rPr>
            </w:pPr>
            <w:r>
              <w:rPr>
                <w:rFonts w:hint="eastAsia" w:ascii="仿宋" w:hAnsi="仿宋" w:eastAsia="仿宋" w:cs="仿宋"/>
                <w:b/>
                <w:bCs/>
                <w:sz w:val="21"/>
                <w:szCs w:val="21"/>
              </w:rPr>
              <w:t>学分</w:t>
            </w:r>
          </w:p>
        </w:tc>
        <w:tc>
          <w:tcPr>
            <w:tcW w:w="1642" w:type="dxa"/>
            <w:tcBorders>
              <w:tl2br w:val="nil"/>
              <w:tr2bl w:val="nil"/>
            </w:tcBorders>
            <w:tcMar>
              <w:top w:w="60" w:type="dxa"/>
              <w:left w:w="120" w:type="dxa"/>
              <w:bottom w:w="30" w:type="dxa"/>
              <w:right w:w="120" w:type="dxa"/>
            </w:tcMar>
          </w:tcPr>
          <w:p w14:paraId="3F14B323">
            <w:pPr>
              <w:pStyle w:val="11"/>
              <w:jc w:val="center"/>
              <w:rPr>
                <w:rFonts w:hint="eastAsia" w:ascii="仿宋" w:hAnsi="仿宋" w:eastAsia="仿宋" w:cs="仿宋"/>
                <w:b/>
                <w:bCs/>
                <w:sz w:val="21"/>
                <w:szCs w:val="21"/>
              </w:rPr>
            </w:pPr>
            <w:r>
              <w:rPr>
                <w:rFonts w:hint="eastAsia" w:ascii="仿宋" w:hAnsi="仿宋" w:eastAsia="仿宋" w:cs="仿宋"/>
                <w:b/>
                <w:bCs/>
                <w:sz w:val="21"/>
                <w:szCs w:val="21"/>
              </w:rPr>
              <w:t>授课方式</w:t>
            </w:r>
          </w:p>
        </w:tc>
        <w:tc>
          <w:tcPr>
            <w:tcW w:w="1791" w:type="dxa"/>
            <w:tcBorders>
              <w:tl2br w:val="nil"/>
              <w:tr2bl w:val="nil"/>
            </w:tcBorders>
            <w:tcMar>
              <w:top w:w="60" w:type="dxa"/>
              <w:left w:w="120" w:type="dxa"/>
              <w:bottom w:w="30" w:type="dxa"/>
              <w:right w:w="120" w:type="dxa"/>
            </w:tcMar>
          </w:tcPr>
          <w:p w14:paraId="65465DE6">
            <w:pPr>
              <w:pStyle w:val="11"/>
              <w:jc w:val="center"/>
              <w:rPr>
                <w:rFonts w:hint="eastAsia" w:ascii="仿宋" w:hAnsi="仿宋" w:eastAsia="仿宋" w:cs="仿宋"/>
                <w:b/>
                <w:bCs/>
                <w:sz w:val="21"/>
                <w:szCs w:val="21"/>
              </w:rPr>
            </w:pPr>
            <w:r>
              <w:rPr>
                <w:rFonts w:hint="eastAsia" w:ascii="仿宋" w:hAnsi="仿宋" w:eastAsia="仿宋" w:cs="仿宋"/>
                <w:b/>
                <w:bCs/>
                <w:sz w:val="21"/>
                <w:szCs w:val="21"/>
              </w:rPr>
              <w:t>考核方式</w:t>
            </w:r>
          </w:p>
        </w:tc>
        <w:tc>
          <w:tcPr>
            <w:tcW w:w="1209" w:type="dxa"/>
            <w:tcBorders>
              <w:tl2br w:val="nil"/>
              <w:tr2bl w:val="nil"/>
            </w:tcBorders>
            <w:tcMar>
              <w:top w:w="60" w:type="dxa"/>
              <w:left w:w="120" w:type="dxa"/>
              <w:bottom w:w="30" w:type="dxa"/>
              <w:right w:w="120" w:type="dxa"/>
            </w:tcMar>
          </w:tcPr>
          <w:p w14:paraId="08B892C2">
            <w:pPr>
              <w:pStyle w:val="11"/>
              <w:jc w:val="center"/>
              <w:rPr>
                <w:rFonts w:hint="eastAsia" w:ascii="仿宋" w:hAnsi="仿宋" w:eastAsia="仿宋" w:cs="仿宋"/>
                <w:b/>
                <w:bCs/>
                <w:sz w:val="21"/>
                <w:szCs w:val="21"/>
              </w:rPr>
            </w:pPr>
            <w:r>
              <w:rPr>
                <w:rFonts w:hint="eastAsia" w:ascii="仿宋" w:hAnsi="仿宋" w:eastAsia="仿宋" w:cs="仿宋"/>
                <w:b/>
                <w:bCs/>
                <w:sz w:val="21"/>
                <w:szCs w:val="21"/>
              </w:rPr>
              <w:t>开课时间</w:t>
            </w:r>
          </w:p>
        </w:tc>
        <w:tc>
          <w:tcPr>
            <w:tcW w:w="1603" w:type="dxa"/>
            <w:tcBorders>
              <w:tl2br w:val="nil"/>
              <w:tr2bl w:val="nil"/>
            </w:tcBorders>
            <w:tcMar>
              <w:top w:w="60" w:type="dxa"/>
              <w:left w:w="120" w:type="dxa"/>
              <w:bottom w:w="30" w:type="dxa"/>
              <w:right w:w="120" w:type="dxa"/>
            </w:tcMar>
          </w:tcPr>
          <w:p w14:paraId="3D55D194">
            <w:pPr>
              <w:pStyle w:val="11"/>
              <w:jc w:val="center"/>
              <w:rPr>
                <w:rFonts w:hint="eastAsia" w:ascii="仿宋" w:hAnsi="仿宋" w:eastAsia="仿宋" w:cs="仿宋"/>
                <w:b/>
                <w:bCs/>
                <w:sz w:val="21"/>
                <w:szCs w:val="21"/>
              </w:rPr>
            </w:pPr>
            <w:r>
              <w:rPr>
                <w:rFonts w:hint="eastAsia" w:ascii="仿宋" w:hAnsi="仿宋" w:eastAsia="仿宋" w:cs="仿宋"/>
                <w:b/>
                <w:bCs/>
                <w:sz w:val="21"/>
                <w:szCs w:val="21"/>
              </w:rPr>
              <w:t>教学内容</w:t>
            </w:r>
          </w:p>
        </w:tc>
      </w:tr>
      <w:tr w14:paraId="465E1B1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rPr>
          <w:trHeight w:val="1931" w:hRule="atLeast"/>
        </w:trPr>
        <w:tc>
          <w:tcPr>
            <w:tcW w:w="1358" w:type="dxa"/>
            <w:tcBorders>
              <w:tl2br w:val="nil"/>
              <w:tr2bl w:val="nil"/>
            </w:tcBorders>
            <w:tcMar>
              <w:top w:w="60" w:type="dxa"/>
              <w:left w:w="120" w:type="dxa"/>
              <w:bottom w:w="30" w:type="dxa"/>
              <w:right w:w="120" w:type="dxa"/>
            </w:tcMar>
            <w:vAlign w:val="center"/>
          </w:tcPr>
          <w:p w14:paraId="2E7B3B52">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《智慧城市导论与政策》</w:t>
            </w:r>
          </w:p>
        </w:tc>
        <w:tc>
          <w:tcPr>
            <w:tcW w:w="971" w:type="dxa"/>
            <w:tcBorders>
              <w:tl2br w:val="nil"/>
              <w:tr2bl w:val="nil"/>
            </w:tcBorders>
            <w:tcMar>
              <w:top w:w="60" w:type="dxa"/>
              <w:left w:w="120" w:type="dxa"/>
              <w:bottom w:w="30" w:type="dxa"/>
              <w:right w:w="120" w:type="dxa"/>
            </w:tcMar>
            <w:vAlign w:val="center"/>
          </w:tcPr>
          <w:p w14:paraId="5D079BC8">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48</w:t>
            </w:r>
          </w:p>
        </w:tc>
        <w:tc>
          <w:tcPr>
            <w:tcW w:w="692" w:type="dxa"/>
            <w:tcBorders>
              <w:tl2br w:val="nil"/>
              <w:tr2bl w:val="nil"/>
            </w:tcBorders>
            <w:tcMar>
              <w:top w:w="60" w:type="dxa"/>
              <w:left w:w="120" w:type="dxa"/>
              <w:bottom w:w="30" w:type="dxa"/>
              <w:right w:w="120" w:type="dxa"/>
            </w:tcMar>
            <w:vAlign w:val="center"/>
          </w:tcPr>
          <w:p w14:paraId="706FF93D">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3</w:t>
            </w:r>
          </w:p>
        </w:tc>
        <w:tc>
          <w:tcPr>
            <w:tcW w:w="1642" w:type="dxa"/>
            <w:tcBorders>
              <w:tl2br w:val="nil"/>
              <w:tr2bl w:val="nil"/>
            </w:tcBorders>
            <w:tcMar>
              <w:top w:w="60" w:type="dxa"/>
              <w:left w:w="120" w:type="dxa"/>
              <w:bottom w:w="30" w:type="dxa"/>
              <w:right w:w="120" w:type="dxa"/>
            </w:tcMar>
            <w:vAlign w:val="center"/>
          </w:tcPr>
          <w:p w14:paraId="486A6184">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线上 + 线下（理论授课 + 案例分析）</w:t>
            </w:r>
          </w:p>
        </w:tc>
        <w:tc>
          <w:tcPr>
            <w:tcW w:w="1791" w:type="dxa"/>
            <w:tcBorders>
              <w:tl2br w:val="nil"/>
              <w:tr2bl w:val="nil"/>
            </w:tcBorders>
            <w:tcMar>
              <w:top w:w="60" w:type="dxa"/>
              <w:left w:w="120" w:type="dxa"/>
              <w:bottom w:w="30" w:type="dxa"/>
              <w:right w:w="120" w:type="dxa"/>
            </w:tcMar>
            <w:vAlign w:val="center"/>
          </w:tcPr>
          <w:p w14:paraId="13364DF5">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过程性评价（课堂互动、案例作业）+ 结果性评价（理论考试）</w:t>
            </w:r>
          </w:p>
        </w:tc>
        <w:tc>
          <w:tcPr>
            <w:tcW w:w="1209" w:type="dxa"/>
            <w:tcBorders>
              <w:tl2br w:val="nil"/>
              <w:tr2bl w:val="nil"/>
            </w:tcBorders>
            <w:tcMar>
              <w:top w:w="60" w:type="dxa"/>
              <w:left w:w="120" w:type="dxa"/>
              <w:bottom w:w="30" w:type="dxa"/>
              <w:right w:w="120" w:type="dxa"/>
            </w:tcMar>
            <w:vAlign w:val="center"/>
          </w:tcPr>
          <w:p w14:paraId="7B807622">
            <w:pPr>
              <w:keepNext w:val="0"/>
              <w:keepLines w:val="0"/>
              <w:widowControl/>
              <w:suppressLineNumbers w:val="0"/>
              <w:jc w:val="left"/>
              <w:rPr>
                <w:rFonts w:hint="eastAsia" w:ascii="仿宋" w:hAnsi="仿宋" w:eastAsia="仿宋" w:cs="仿宋"/>
                <w:sz w:val="21"/>
                <w:szCs w:val="21"/>
                <w:lang w:val="en-US" w:eastAsia="zh-CN"/>
              </w:rPr>
            </w:pPr>
            <w:r>
              <w:rPr>
                <w:rFonts w:hint="eastAsia" w:ascii="仿宋" w:hAnsi="仿宋" w:eastAsia="仿宋" w:cs="仿宋"/>
                <w:i w:val="0"/>
                <w:iCs w:val="0"/>
                <w:caps w:val="0"/>
                <w:color w:val="0F1115"/>
                <w:spacing w:val="0"/>
                <w:kern w:val="0"/>
                <w:sz w:val="21"/>
                <w:szCs w:val="21"/>
                <w:lang w:val="en-US" w:eastAsia="zh-CN" w:bidi="ar"/>
              </w:rPr>
              <w:t>2026年5月-2027年4月</w:t>
            </w:r>
          </w:p>
        </w:tc>
        <w:tc>
          <w:tcPr>
            <w:tcW w:w="1603" w:type="dxa"/>
            <w:tcBorders>
              <w:tl2br w:val="nil"/>
              <w:tr2bl w:val="nil"/>
            </w:tcBorders>
            <w:tcMar>
              <w:top w:w="60" w:type="dxa"/>
              <w:left w:w="120" w:type="dxa"/>
              <w:bottom w:w="30" w:type="dxa"/>
              <w:right w:w="120" w:type="dxa"/>
            </w:tcMar>
            <w:vAlign w:val="center"/>
          </w:tcPr>
          <w:p w14:paraId="2347B3E2">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讲解智慧城市概念、国家战略（如“十四五”数字经济发展规划）、政策法规及标准体系，分析国内外智慧城市典型案例，培养学生政策解读与合规意识。</w:t>
            </w:r>
          </w:p>
        </w:tc>
      </w:tr>
      <w:tr w14:paraId="717062B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vAlign w:val="center"/>
          </w:tcPr>
          <w:p w14:paraId="7ED80505">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《城市信息模型（CIM）技术与应用》</w:t>
            </w:r>
          </w:p>
        </w:tc>
        <w:tc>
          <w:tcPr>
            <w:tcW w:w="971" w:type="dxa"/>
            <w:tcBorders>
              <w:tl2br w:val="nil"/>
              <w:tr2bl w:val="nil"/>
            </w:tcBorders>
            <w:tcMar>
              <w:top w:w="60" w:type="dxa"/>
              <w:left w:w="120" w:type="dxa"/>
              <w:bottom w:w="30" w:type="dxa"/>
              <w:right w:w="120" w:type="dxa"/>
            </w:tcMar>
            <w:vAlign w:val="center"/>
          </w:tcPr>
          <w:p w14:paraId="0F870F3A">
            <w:pPr>
              <w:keepNext w:val="0"/>
              <w:keepLines w:val="0"/>
              <w:widowControl/>
              <w:suppressLineNumbers w:val="0"/>
              <w:jc w:val="left"/>
              <w:rPr>
                <w:rFonts w:hint="eastAsia" w:ascii="仿宋" w:hAnsi="仿宋" w:eastAsia="仿宋" w:cs="仿宋"/>
                <w:sz w:val="21"/>
                <w:szCs w:val="21"/>
                <w:lang w:val="en-US"/>
              </w:rPr>
            </w:pPr>
            <w:r>
              <w:rPr>
                <w:rFonts w:hint="eastAsia" w:ascii="仿宋" w:hAnsi="仿宋" w:eastAsia="仿宋" w:cs="仿宋"/>
                <w:i w:val="0"/>
                <w:iCs w:val="0"/>
                <w:caps w:val="0"/>
                <w:color w:val="0F1115"/>
                <w:spacing w:val="0"/>
                <w:kern w:val="0"/>
                <w:sz w:val="21"/>
                <w:szCs w:val="21"/>
                <w:lang w:val="en-US" w:eastAsia="zh-CN" w:bidi="ar"/>
              </w:rPr>
              <w:t>48</w:t>
            </w:r>
          </w:p>
        </w:tc>
        <w:tc>
          <w:tcPr>
            <w:tcW w:w="692" w:type="dxa"/>
            <w:tcBorders>
              <w:tl2br w:val="nil"/>
              <w:tr2bl w:val="nil"/>
            </w:tcBorders>
            <w:tcMar>
              <w:top w:w="60" w:type="dxa"/>
              <w:left w:w="120" w:type="dxa"/>
              <w:bottom w:w="30" w:type="dxa"/>
              <w:right w:w="120" w:type="dxa"/>
            </w:tcMar>
            <w:vAlign w:val="center"/>
          </w:tcPr>
          <w:p w14:paraId="5DF9D622">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3</w:t>
            </w:r>
          </w:p>
        </w:tc>
        <w:tc>
          <w:tcPr>
            <w:tcW w:w="1642" w:type="dxa"/>
            <w:tcBorders>
              <w:tl2br w:val="nil"/>
              <w:tr2bl w:val="nil"/>
            </w:tcBorders>
            <w:tcMar>
              <w:top w:w="60" w:type="dxa"/>
              <w:left w:w="120" w:type="dxa"/>
              <w:bottom w:w="30" w:type="dxa"/>
              <w:right w:w="120" w:type="dxa"/>
            </w:tcMar>
            <w:vAlign w:val="center"/>
          </w:tcPr>
          <w:p w14:paraId="2C3A918C">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线上 + 线下（理论授课 + 案例实训）</w:t>
            </w:r>
          </w:p>
        </w:tc>
        <w:tc>
          <w:tcPr>
            <w:tcW w:w="1791" w:type="dxa"/>
            <w:tcBorders>
              <w:tl2br w:val="nil"/>
              <w:tr2bl w:val="nil"/>
            </w:tcBorders>
            <w:tcMar>
              <w:top w:w="60" w:type="dxa"/>
              <w:left w:w="120" w:type="dxa"/>
              <w:bottom w:w="30" w:type="dxa"/>
              <w:right w:w="120" w:type="dxa"/>
            </w:tcMar>
            <w:vAlign w:val="center"/>
          </w:tcPr>
          <w:p w14:paraId="61AC7785">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过程性评价（实训任务完成度、模型质量）+ 结果性评价（实操考核 + 方案答辩）</w:t>
            </w:r>
          </w:p>
        </w:tc>
        <w:tc>
          <w:tcPr>
            <w:tcW w:w="1209" w:type="dxa"/>
            <w:tcBorders>
              <w:tl2br w:val="nil"/>
              <w:tr2bl w:val="nil"/>
            </w:tcBorders>
            <w:tcMar>
              <w:top w:w="60" w:type="dxa"/>
              <w:left w:w="120" w:type="dxa"/>
              <w:bottom w:w="30" w:type="dxa"/>
              <w:right w:w="120" w:type="dxa"/>
            </w:tcMar>
            <w:vAlign w:val="center"/>
          </w:tcPr>
          <w:p w14:paraId="6CAE11EF">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2026年5月-2027年4月</w:t>
            </w:r>
          </w:p>
        </w:tc>
        <w:tc>
          <w:tcPr>
            <w:tcW w:w="1603" w:type="dxa"/>
            <w:tcBorders>
              <w:tl2br w:val="nil"/>
              <w:tr2bl w:val="nil"/>
            </w:tcBorders>
            <w:tcMar>
              <w:top w:w="60" w:type="dxa"/>
              <w:left w:w="120" w:type="dxa"/>
              <w:bottom w:w="30" w:type="dxa"/>
              <w:right w:w="120" w:type="dxa"/>
            </w:tcMar>
            <w:vAlign w:val="center"/>
          </w:tcPr>
          <w:p w14:paraId="2829CE63">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教授CIM建模原理与方法，涵盖城市地上地下空间信息模型创建、可视化渲染及与GIS集成应用，通过真实项目训练学生进行城市规划、应急消防等场景的CIM应用能力。</w:t>
            </w:r>
          </w:p>
        </w:tc>
      </w:tr>
      <w:tr w14:paraId="384D69E8">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vAlign w:val="center"/>
          </w:tcPr>
          <w:p w14:paraId="00CA7938">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《地理信息系统（GIS）技术与应用》</w:t>
            </w:r>
          </w:p>
        </w:tc>
        <w:tc>
          <w:tcPr>
            <w:tcW w:w="971" w:type="dxa"/>
            <w:tcBorders>
              <w:tl2br w:val="nil"/>
              <w:tr2bl w:val="nil"/>
            </w:tcBorders>
            <w:tcMar>
              <w:top w:w="60" w:type="dxa"/>
              <w:left w:w="120" w:type="dxa"/>
              <w:bottom w:w="30" w:type="dxa"/>
              <w:right w:w="120" w:type="dxa"/>
            </w:tcMar>
            <w:vAlign w:val="center"/>
          </w:tcPr>
          <w:p w14:paraId="3BE659FA">
            <w:pPr>
              <w:keepNext w:val="0"/>
              <w:keepLines w:val="0"/>
              <w:widowControl/>
              <w:suppressLineNumbers w:val="0"/>
              <w:jc w:val="left"/>
              <w:rPr>
                <w:rFonts w:hint="eastAsia" w:ascii="仿宋" w:hAnsi="仿宋" w:eastAsia="仿宋" w:cs="仿宋"/>
                <w:sz w:val="21"/>
                <w:szCs w:val="21"/>
                <w:lang w:val="en-US"/>
              </w:rPr>
            </w:pPr>
            <w:r>
              <w:rPr>
                <w:rFonts w:hint="eastAsia" w:ascii="仿宋" w:hAnsi="仿宋" w:eastAsia="仿宋" w:cs="仿宋"/>
                <w:i w:val="0"/>
                <w:iCs w:val="0"/>
                <w:caps w:val="0"/>
                <w:color w:val="0F1115"/>
                <w:spacing w:val="0"/>
                <w:kern w:val="0"/>
                <w:sz w:val="21"/>
                <w:szCs w:val="21"/>
                <w:lang w:val="en-US" w:eastAsia="zh-CN" w:bidi="ar"/>
              </w:rPr>
              <w:t>48</w:t>
            </w:r>
          </w:p>
        </w:tc>
        <w:tc>
          <w:tcPr>
            <w:tcW w:w="692" w:type="dxa"/>
            <w:tcBorders>
              <w:tl2br w:val="nil"/>
              <w:tr2bl w:val="nil"/>
            </w:tcBorders>
            <w:tcMar>
              <w:top w:w="60" w:type="dxa"/>
              <w:left w:w="120" w:type="dxa"/>
              <w:bottom w:w="30" w:type="dxa"/>
              <w:right w:w="120" w:type="dxa"/>
            </w:tcMar>
            <w:vAlign w:val="center"/>
          </w:tcPr>
          <w:p w14:paraId="43DC984B">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3</w:t>
            </w:r>
          </w:p>
        </w:tc>
        <w:tc>
          <w:tcPr>
            <w:tcW w:w="1642" w:type="dxa"/>
            <w:tcBorders>
              <w:tl2br w:val="nil"/>
              <w:tr2bl w:val="nil"/>
            </w:tcBorders>
            <w:tcMar>
              <w:top w:w="60" w:type="dxa"/>
              <w:left w:w="120" w:type="dxa"/>
              <w:bottom w:w="30" w:type="dxa"/>
              <w:right w:w="120" w:type="dxa"/>
            </w:tcMar>
            <w:vAlign w:val="center"/>
          </w:tcPr>
          <w:p w14:paraId="2221F82D">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线上 + 线下（理论授课 + 案例实训）</w:t>
            </w:r>
          </w:p>
        </w:tc>
        <w:tc>
          <w:tcPr>
            <w:tcW w:w="1791" w:type="dxa"/>
            <w:tcBorders>
              <w:tl2br w:val="nil"/>
              <w:tr2bl w:val="nil"/>
            </w:tcBorders>
            <w:tcMar>
              <w:top w:w="60" w:type="dxa"/>
              <w:left w:w="120" w:type="dxa"/>
              <w:bottom w:w="30" w:type="dxa"/>
              <w:right w:w="120" w:type="dxa"/>
            </w:tcMar>
            <w:vAlign w:val="center"/>
          </w:tcPr>
          <w:p w14:paraId="1C611FD5">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过程性评价（实训操作、数据分析报告）+ 结果性评价（实操考核 + 项目设计）</w:t>
            </w:r>
          </w:p>
        </w:tc>
        <w:tc>
          <w:tcPr>
            <w:tcW w:w="1209" w:type="dxa"/>
            <w:tcBorders>
              <w:tl2br w:val="nil"/>
              <w:tr2bl w:val="nil"/>
            </w:tcBorders>
            <w:tcMar>
              <w:top w:w="60" w:type="dxa"/>
              <w:left w:w="120" w:type="dxa"/>
              <w:bottom w:w="30" w:type="dxa"/>
              <w:right w:w="120" w:type="dxa"/>
            </w:tcMar>
            <w:vAlign w:val="center"/>
          </w:tcPr>
          <w:p w14:paraId="4640771B">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2026年5月-2027年4月</w:t>
            </w:r>
          </w:p>
        </w:tc>
        <w:tc>
          <w:tcPr>
            <w:tcW w:w="1603" w:type="dxa"/>
            <w:tcBorders>
              <w:tl2br w:val="nil"/>
              <w:tr2bl w:val="nil"/>
            </w:tcBorders>
            <w:tcMar>
              <w:top w:w="60" w:type="dxa"/>
              <w:left w:w="120" w:type="dxa"/>
              <w:bottom w:w="30" w:type="dxa"/>
              <w:right w:w="120" w:type="dxa"/>
            </w:tcMar>
            <w:vAlign w:val="center"/>
          </w:tcPr>
          <w:p w14:paraId="44FAB807">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讲授GIS基本理论，重点训练主流GIS软件操作，包括空间数据采集、编辑、分析与建模，结合城市管理实例（如交通网络分析、设施选址）开展综合实训。</w:t>
            </w:r>
          </w:p>
        </w:tc>
      </w:tr>
      <w:tr w14:paraId="5B23C1B2">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vAlign w:val="center"/>
          </w:tcPr>
          <w:p w14:paraId="71D32F68">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《城市社区网格化管理实训》</w:t>
            </w:r>
          </w:p>
        </w:tc>
        <w:tc>
          <w:tcPr>
            <w:tcW w:w="971" w:type="dxa"/>
            <w:tcBorders>
              <w:tl2br w:val="nil"/>
              <w:tr2bl w:val="nil"/>
            </w:tcBorders>
            <w:tcMar>
              <w:top w:w="60" w:type="dxa"/>
              <w:left w:w="120" w:type="dxa"/>
              <w:bottom w:w="30" w:type="dxa"/>
              <w:right w:w="120" w:type="dxa"/>
            </w:tcMar>
            <w:vAlign w:val="center"/>
          </w:tcPr>
          <w:p w14:paraId="4AFC2C95">
            <w:pPr>
              <w:keepNext w:val="0"/>
              <w:keepLines w:val="0"/>
              <w:widowControl/>
              <w:suppressLineNumbers w:val="0"/>
              <w:jc w:val="left"/>
              <w:rPr>
                <w:rFonts w:hint="eastAsia" w:ascii="仿宋" w:hAnsi="仿宋" w:eastAsia="仿宋" w:cs="仿宋"/>
                <w:sz w:val="21"/>
                <w:szCs w:val="21"/>
                <w:lang w:val="en-US"/>
              </w:rPr>
            </w:pPr>
            <w:r>
              <w:rPr>
                <w:rFonts w:hint="eastAsia" w:ascii="仿宋" w:hAnsi="仿宋" w:eastAsia="仿宋" w:cs="仿宋"/>
                <w:i w:val="0"/>
                <w:iCs w:val="0"/>
                <w:caps w:val="0"/>
                <w:color w:val="0F1115"/>
                <w:spacing w:val="0"/>
                <w:kern w:val="0"/>
                <w:sz w:val="21"/>
                <w:szCs w:val="21"/>
                <w:lang w:val="en-US" w:eastAsia="zh-CN" w:bidi="ar"/>
              </w:rPr>
              <w:t>48</w:t>
            </w:r>
          </w:p>
        </w:tc>
        <w:tc>
          <w:tcPr>
            <w:tcW w:w="692" w:type="dxa"/>
            <w:tcBorders>
              <w:tl2br w:val="nil"/>
              <w:tr2bl w:val="nil"/>
            </w:tcBorders>
            <w:tcMar>
              <w:top w:w="60" w:type="dxa"/>
              <w:left w:w="120" w:type="dxa"/>
              <w:bottom w:w="30" w:type="dxa"/>
              <w:right w:w="120" w:type="dxa"/>
            </w:tcMar>
            <w:vAlign w:val="center"/>
          </w:tcPr>
          <w:p w14:paraId="0B1DD677">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3</w:t>
            </w:r>
          </w:p>
        </w:tc>
        <w:tc>
          <w:tcPr>
            <w:tcW w:w="1642" w:type="dxa"/>
            <w:tcBorders>
              <w:tl2br w:val="nil"/>
              <w:tr2bl w:val="nil"/>
            </w:tcBorders>
            <w:tcMar>
              <w:top w:w="60" w:type="dxa"/>
              <w:left w:w="120" w:type="dxa"/>
              <w:bottom w:w="30" w:type="dxa"/>
              <w:right w:w="120" w:type="dxa"/>
            </w:tcMar>
            <w:vAlign w:val="center"/>
          </w:tcPr>
          <w:p w14:paraId="76B02AFC">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线上 +线下（理论授课 + 案例实训）</w:t>
            </w:r>
          </w:p>
        </w:tc>
        <w:tc>
          <w:tcPr>
            <w:tcW w:w="1791" w:type="dxa"/>
            <w:tcBorders>
              <w:tl2br w:val="nil"/>
              <w:tr2bl w:val="nil"/>
            </w:tcBorders>
            <w:tcMar>
              <w:top w:w="60" w:type="dxa"/>
              <w:left w:w="120" w:type="dxa"/>
              <w:bottom w:w="30" w:type="dxa"/>
              <w:right w:w="120" w:type="dxa"/>
            </w:tcMar>
            <w:vAlign w:val="center"/>
          </w:tcPr>
          <w:p w14:paraId="59038D1B">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过程性评价（网格巡查记录、矛盾调解模拟）+ 结果性评价（实战考核 + 实训总结）</w:t>
            </w:r>
          </w:p>
        </w:tc>
        <w:tc>
          <w:tcPr>
            <w:tcW w:w="1209" w:type="dxa"/>
            <w:tcBorders>
              <w:tl2br w:val="nil"/>
              <w:tr2bl w:val="nil"/>
            </w:tcBorders>
            <w:tcMar>
              <w:top w:w="60" w:type="dxa"/>
              <w:left w:w="120" w:type="dxa"/>
              <w:bottom w:w="30" w:type="dxa"/>
              <w:right w:w="120" w:type="dxa"/>
            </w:tcMar>
            <w:vAlign w:val="center"/>
          </w:tcPr>
          <w:p w14:paraId="1F4A35C8">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2026年5月-2027年4月</w:t>
            </w:r>
          </w:p>
        </w:tc>
        <w:tc>
          <w:tcPr>
            <w:tcW w:w="1603" w:type="dxa"/>
            <w:tcBorders>
              <w:tl2br w:val="nil"/>
              <w:tr2bl w:val="nil"/>
            </w:tcBorders>
            <w:tcMar>
              <w:top w:w="60" w:type="dxa"/>
              <w:left w:w="120" w:type="dxa"/>
              <w:bottom w:w="30" w:type="dxa"/>
              <w:right w:w="120" w:type="dxa"/>
            </w:tcMar>
            <w:vAlign w:val="center"/>
          </w:tcPr>
          <w:p w14:paraId="30F45404">
            <w:pPr>
              <w:keepNext w:val="0"/>
              <w:keepLines w:val="0"/>
              <w:widowControl/>
              <w:suppressLineNumbers w:val="0"/>
              <w:jc w:val="left"/>
              <w:rPr>
                <w:rFonts w:hint="eastAsia" w:ascii="仿宋" w:hAnsi="仿宋" w:eastAsia="仿宋" w:cs="仿宋"/>
                <w:sz w:val="21"/>
                <w:szCs w:val="21"/>
              </w:rPr>
            </w:pPr>
            <w:r>
              <w:rPr>
                <w:rFonts w:hint="eastAsia" w:ascii="仿宋" w:hAnsi="仿宋" w:eastAsia="仿宋" w:cs="仿宋"/>
                <w:i w:val="0"/>
                <w:iCs w:val="0"/>
                <w:caps w:val="0"/>
                <w:color w:val="0F1115"/>
                <w:spacing w:val="0"/>
                <w:kern w:val="0"/>
                <w:sz w:val="21"/>
                <w:szCs w:val="21"/>
                <w:lang w:val="en-US" w:eastAsia="zh-CN" w:bidi="ar"/>
              </w:rPr>
              <w:t>对接城市管理数字化平台，开展单元网格巡查、事件上报、分流处置等全流程实训，融入社区服务项目设计、居民沟通技巧等内容，提升学生城市社区治理实战能力。</w:t>
            </w:r>
          </w:p>
        </w:tc>
      </w:tr>
    </w:tbl>
    <w:p w14:paraId="2A084107">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（二）招生计划</w:t>
      </w:r>
    </w:p>
    <w:p w14:paraId="268F6FED">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该微专业面向我校全体24级在校生招生，本届招生规模为45人，低于30人不开班。</w:t>
      </w:r>
    </w:p>
    <w:p w14:paraId="2064342D">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三</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）证书发放</w:t>
      </w:r>
    </w:p>
    <w:p w14:paraId="0E33B705">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职业技能证书：学生完成相关课程学习后，可参加建筑信息模型（BIM）等职业技能等级证书考试，学院将组织考前辅导，考试合格后由相关认证机构发放证书。</w:t>
      </w:r>
    </w:p>
    <w:p w14:paraId="684E60C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微专业证书：学生修满本微专业1</w:t>
      </w:r>
      <w:r>
        <w:rPr>
          <w:rFonts w:hint="eastAsia" w:ascii="Times New Roman" w:hAnsi="Times New Roman" w:eastAsia="仿宋_GB2312" w:cs="Times New Roman"/>
          <w:i w:val="0"/>
          <w:iCs w:val="0"/>
          <w:caps w:val="0"/>
          <w:color w:val="333333"/>
          <w:spacing w:val="0"/>
          <w:sz w:val="32"/>
          <w:szCs w:val="32"/>
          <w:shd w:val="clear" w:fill="FFFFFF"/>
          <w:lang w:val="en-US" w:eastAsia="zh-CN"/>
        </w:rPr>
        <w:t>2</w:t>
      </w:r>
      <w:r>
        <w:rPr>
          <w:rFonts w:hint="default" w:ascii="Times New Roman" w:hAnsi="Times New Roman" w:eastAsia="仿宋_GB2312" w:cs="Times New Roman"/>
          <w:i w:val="0"/>
          <w:iCs w:val="0"/>
          <w:caps w:val="0"/>
          <w:color w:val="333333"/>
          <w:spacing w:val="0"/>
          <w:sz w:val="32"/>
          <w:szCs w:val="32"/>
          <w:shd w:val="clear" w:fill="FFFFFF"/>
          <w:lang w:val="en-US" w:eastAsia="zh-CN"/>
        </w:rPr>
        <w:t>学分课程，经二级学院审核、教务处审定后，发放智慧城市管理技术微专业证书。</w:t>
      </w:r>
    </w:p>
    <w:p w14:paraId="1AA6B213">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pPr>
      <w:r>
        <w:t>三、报名基本条件</w:t>
      </w:r>
    </w:p>
    <w:p w14:paraId="73F8D6D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1.</w:t>
      </w:r>
      <w:r>
        <w:rPr>
          <w:rFonts w:hint="eastAsia" w:ascii="Times New Roman" w:hAnsi="Times New Roman" w:eastAsia="仿宋_GB2312" w:cs="Times New Roman"/>
          <w:i w:val="0"/>
          <w:iCs w:val="0"/>
          <w:caps w:val="0"/>
          <w:color w:val="333333"/>
          <w:spacing w:val="0"/>
          <w:sz w:val="32"/>
          <w:szCs w:val="32"/>
          <w:shd w:val="clear" w:fill="FFFFFF"/>
          <w:lang w:val="en-US" w:eastAsia="zh-CN"/>
        </w:rPr>
        <w:t>具有我校学籍的</w:t>
      </w:r>
      <w:r>
        <w:rPr>
          <w:rFonts w:hint="eastAsia" w:ascii="Times New Roman" w:hAnsi="Times New Roman" w:eastAsia="仿宋_GB2312"/>
          <w:color w:val="333333"/>
          <w:sz w:val="32"/>
          <w:szCs w:val="32"/>
          <w:shd w:val="clear" w:color="auto" w:fill="FFFFFF"/>
        </w:rPr>
        <w:t>202</w:t>
      </w:r>
      <w:r>
        <w:rPr>
          <w:rFonts w:ascii="Times New Roman" w:hAnsi="Times New Roman" w:eastAsia="仿宋_GB2312"/>
          <w:color w:val="333333"/>
          <w:sz w:val="32"/>
          <w:szCs w:val="32"/>
          <w:shd w:val="clear" w:color="auto" w:fill="FFFFFF"/>
        </w:rPr>
        <w:t>4</w:t>
      </w:r>
      <w:r>
        <w:rPr>
          <w:rFonts w:hint="eastAsia" w:ascii="Times New Roman" w:hAnsi="Times New Roman" w:eastAsia="仿宋_GB2312"/>
          <w:color w:val="333333"/>
          <w:sz w:val="32"/>
          <w:szCs w:val="32"/>
          <w:shd w:val="clear" w:color="auto" w:fill="FFFFFF"/>
        </w:rPr>
        <w:t>级</w:t>
      </w:r>
      <w:r>
        <w:rPr>
          <w:rFonts w:ascii="Times New Roman" w:hAnsi="Times New Roman" w:eastAsia="仿宋_GB2312"/>
          <w:color w:val="333333"/>
          <w:sz w:val="32"/>
          <w:szCs w:val="32"/>
          <w:shd w:val="clear" w:color="auto" w:fill="FFFFFF"/>
        </w:rPr>
        <w:t>在校生</w:t>
      </w:r>
      <w:r>
        <w:rPr>
          <w:rFonts w:hint="eastAsia" w:ascii="Times New Roman" w:hAnsi="Times New Roman" w:eastAsia="仿宋_GB2312" w:cs="Times New Roman"/>
          <w:i w:val="0"/>
          <w:iCs w:val="0"/>
          <w:caps w:val="0"/>
          <w:color w:val="333333"/>
          <w:spacing w:val="0"/>
          <w:sz w:val="32"/>
          <w:szCs w:val="32"/>
          <w:shd w:val="clear" w:fill="FFFFFF"/>
          <w:lang w:val="en-US" w:eastAsia="zh-CN"/>
        </w:rPr>
        <w:t>；</w:t>
      </w:r>
    </w:p>
    <w:p w14:paraId="5B3066A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i w:val="0"/>
          <w:iCs w:val="0"/>
          <w:caps w:val="0"/>
          <w:color w:val="333333"/>
          <w:spacing w:val="0"/>
          <w:sz w:val="32"/>
          <w:szCs w:val="32"/>
          <w:shd w:val="clear" w:fill="FFFFFF"/>
          <w:lang w:val="en-US" w:eastAsia="zh-CN"/>
        </w:rPr>
      </w:pPr>
      <w:r>
        <w:rPr>
          <w:rFonts w:hint="eastAsia" w:ascii="Times New Roman" w:hAnsi="Times New Roman" w:eastAsia="仿宋_GB2312" w:cs="Times New Roman"/>
          <w:i w:val="0"/>
          <w:iCs w:val="0"/>
          <w:caps w:val="0"/>
          <w:color w:val="333333"/>
          <w:spacing w:val="0"/>
          <w:sz w:val="32"/>
          <w:szCs w:val="32"/>
          <w:shd w:val="clear" w:fill="FFFFFF"/>
          <w:lang w:val="en-US" w:eastAsia="zh-CN"/>
        </w:rPr>
        <w:t>2</w:t>
      </w:r>
      <w:r>
        <w:rPr>
          <w:rFonts w:hint="default" w:ascii="Times New Roman" w:hAnsi="Times New Roman" w:eastAsia="仿宋_GB2312" w:cs="Times New Roman"/>
          <w:i w:val="0"/>
          <w:iCs w:val="0"/>
          <w:caps w:val="0"/>
          <w:color w:val="333333"/>
          <w:spacing w:val="0"/>
          <w:sz w:val="32"/>
          <w:szCs w:val="32"/>
          <w:shd w:val="clear" w:fill="FFFFFF"/>
          <w:lang w:val="en-US" w:eastAsia="zh-CN"/>
        </w:rPr>
        <w:t>.</w:t>
      </w:r>
      <w:r>
        <w:rPr>
          <w:rFonts w:hint="eastAsia" w:ascii="Times New Roman" w:hAnsi="Times New Roman" w:eastAsia="仿宋_GB2312" w:cs="Times New Roman"/>
          <w:i w:val="0"/>
          <w:iCs w:val="0"/>
          <w:caps w:val="0"/>
          <w:color w:val="333333"/>
          <w:spacing w:val="0"/>
          <w:sz w:val="32"/>
          <w:szCs w:val="32"/>
          <w:shd w:val="clear" w:fill="FFFFFF"/>
          <w:lang w:val="en-US" w:eastAsia="zh-CN"/>
        </w:rPr>
        <w:t>所申请微专业的修读年限不可晚于主修专业预计毕业日期；</w:t>
      </w:r>
    </w:p>
    <w:p w14:paraId="4E8C410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i w:val="0"/>
          <w:iCs w:val="0"/>
          <w:caps w:val="0"/>
          <w:color w:val="333333"/>
          <w:spacing w:val="0"/>
          <w:sz w:val="32"/>
          <w:szCs w:val="32"/>
          <w:shd w:val="clear" w:fill="FFFFFF"/>
          <w:lang w:val="en-US" w:eastAsia="zh-CN"/>
        </w:rPr>
      </w:pPr>
      <w:r>
        <w:rPr>
          <w:rFonts w:hint="eastAsia" w:ascii="Times New Roman" w:hAnsi="Times New Roman" w:eastAsia="仿宋_GB2312" w:cs="Times New Roman"/>
          <w:i w:val="0"/>
          <w:iCs w:val="0"/>
          <w:caps w:val="0"/>
          <w:color w:val="333333"/>
          <w:spacing w:val="0"/>
          <w:sz w:val="32"/>
          <w:szCs w:val="32"/>
          <w:shd w:val="clear" w:fill="FFFFFF"/>
          <w:lang w:val="en-US" w:eastAsia="zh-CN"/>
        </w:rPr>
        <w:t>3.同一时间段内每个学生只能申请一个微专业进行修读；</w:t>
      </w:r>
    </w:p>
    <w:p w14:paraId="169FFA80">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eastAsia" w:ascii="Times New Roman" w:hAnsi="Times New Roman" w:eastAsia="仿宋_GB2312" w:cs="Times New Roman"/>
          <w:i w:val="0"/>
          <w:iCs w:val="0"/>
          <w:caps w:val="0"/>
          <w:color w:val="333333"/>
          <w:spacing w:val="0"/>
          <w:sz w:val="32"/>
          <w:szCs w:val="32"/>
          <w:shd w:val="clear" w:fill="FFFFFF"/>
          <w:lang w:val="en-US" w:eastAsia="zh-CN"/>
        </w:rPr>
        <w:t>4.学生对智慧城市、地理信息、无人机应用、城市管理等领域有浓厚兴趣，具备较强的学习能力、实践操作能力和团队协作精神，能适应城市管理数字化、智能化转型的需求。</w:t>
      </w:r>
    </w:p>
    <w:p w14:paraId="275B42C8">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pPr>
      <w:r>
        <w:t>四、报名程序</w:t>
      </w:r>
    </w:p>
    <w:p w14:paraId="63C81B02">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（一）报名时间</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及报名方式</w:t>
      </w:r>
    </w:p>
    <w:p w14:paraId="76111FD8">
      <w:pPr>
        <w:pStyle w:val="11"/>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sz w:val="32"/>
          <w:szCs w:val="32"/>
          <w:shd w:val="clear" w:fill="FFFFFF"/>
          <w:lang w:val="en-US" w:eastAsia="zh-CN"/>
        </w:rPr>
        <w:t>请</w:t>
      </w:r>
      <w:r>
        <w:rPr>
          <w:rFonts w:hint="eastAsia" w:ascii="仿宋_GB2312" w:hAnsi="仿宋_GB2312" w:eastAsia="仿宋_GB2312" w:cs="仿宋_GB2312"/>
          <w:i w:val="0"/>
          <w:iCs w:val="0"/>
          <w:caps w:val="0"/>
          <w:color w:val="333333"/>
          <w:spacing w:val="0"/>
          <w:sz w:val="32"/>
          <w:szCs w:val="32"/>
          <w:shd w:val="clear" w:fill="FFFFFF"/>
          <w:lang w:eastAsia="zh-CN"/>
        </w:rPr>
        <w:t>报名</w:t>
      </w:r>
      <w:r>
        <w:rPr>
          <w:rFonts w:hint="eastAsia" w:ascii="仿宋_GB2312" w:hAnsi="仿宋_GB2312" w:eastAsia="仿宋_GB2312" w:cs="仿宋_GB2312"/>
          <w:i w:val="0"/>
          <w:iCs w:val="0"/>
          <w:caps w:val="0"/>
          <w:color w:val="333333"/>
          <w:spacing w:val="0"/>
          <w:sz w:val="32"/>
          <w:szCs w:val="32"/>
          <w:shd w:val="clear" w:fill="FFFFFF"/>
          <w:lang w:val="en-US" w:eastAsia="zh-CN"/>
        </w:rPr>
        <w:t>的</w:t>
      </w:r>
      <w:r>
        <w:rPr>
          <w:rFonts w:hint="eastAsia" w:ascii="仿宋_GB2312" w:hAnsi="仿宋_GB2312" w:eastAsia="仿宋_GB2312" w:cs="仿宋_GB2312"/>
          <w:i w:val="0"/>
          <w:iCs w:val="0"/>
          <w:caps w:val="0"/>
          <w:color w:val="333333"/>
          <w:spacing w:val="0"/>
          <w:sz w:val="32"/>
          <w:szCs w:val="32"/>
          <w:shd w:val="clear" w:fill="FFFFFF"/>
          <w:lang w:eastAsia="zh-CN"/>
        </w:rPr>
        <w:t>学生填</w:t>
      </w:r>
      <w:r>
        <w:rPr>
          <w:rFonts w:hint="eastAsia" w:ascii="仿宋_GB2312" w:hAnsi="仿宋_GB2312" w:eastAsia="仿宋_GB2312" w:cs="仿宋_GB2312"/>
          <w:i w:val="0"/>
          <w:iCs w:val="0"/>
          <w:caps w:val="0"/>
          <w:color w:val="333333"/>
          <w:spacing w:val="0"/>
          <w:sz w:val="32"/>
          <w:szCs w:val="32"/>
          <w:shd w:val="clear" w:fill="FFFFFF"/>
          <w:lang w:val="en-US" w:eastAsia="zh-CN"/>
        </w:rPr>
        <w:t>写</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天津滨海职业学院</w:t>
      </w:r>
      <w:r>
        <w:rPr>
          <w:rFonts w:hint="eastAsia" w:ascii="仿宋_GB2312" w:hAnsi="仿宋_GB2312" w:eastAsia="仿宋_GB2312" w:cs="仿宋_GB2312"/>
          <w:i w:val="0"/>
          <w:iCs w:val="0"/>
          <w:caps w:val="0"/>
          <w:color w:val="333333"/>
          <w:spacing w:val="0"/>
          <w:sz w:val="32"/>
          <w:szCs w:val="32"/>
          <w:shd w:val="clear" w:fill="FFFFFF"/>
          <w:lang w:eastAsia="zh-CN"/>
        </w:rPr>
        <w:t>微专业</w:t>
      </w:r>
      <w:r>
        <w:rPr>
          <w:rFonts w:hint="eastAsia" w:ascii="仿宋_GB2312" w:hAnsi="仿宋_GB2312" w:eastAsia="仿宋_GB2312" w:cs="仿宋_GB2312"/>
          <w:i w:val="0"/>
          <w:iCs w:val="0"/>
          <w:caps w:val="0"/>
          <w:color w:val="333333"/>
          <w:spacing w:val="0"/>
          <w:sz w:val="32"/>
          <w:szCs w:val="32"/>
          <w:shd w:val="clear" w:fill="FFFFFF"/>
          <w:lang w:val="en-US" w:eastAsia="zh-CN"/>
        </w:rPr>
        <w:t>报名</w:t>
      </w:r>
      <w:r>
        <w:rPr>
          <w:rFonts w:hint="eastAsia" w:ascii="仿宋_GB2312" w:hAnsi="仿宋_GB2312" w:eastAsia="仿宋_GB2312" w:cs="仿宋_GB2312"/>
          <w:i w:val="0"/>
          <w:iCs w:val="0"/>
          <w:caps w:val="0"/>
          <w:color w:val="333333"/>
          <w:spacing w:val="0"/>
          <w:sz w:val="32"/>
          <w:szCs w:val="32"/>
          <w:shd w:val="clear" w:fill="FFFFFF"/>
          <w:lang w:eastAsia="zh-CN"/>
        </w:rPr>
        <w:t>表》，</w:t>
      </w:r>
      <w:r>
        <w:rPr>
          <w:rFonts w:hint="eastAsia" w:ascii="仿宋_GB2312" w:hAnsi="宋体" w:eastAsia="仿宋_GB2312" w:cs="仿宋_GB2312"/>
          <w:color w:val="000000"/>
          <w:kern w:val="0"/>
          <w:sz w:val="32"/>
          <w:szCs w:val="32"/>
          <w:lang w:val="en-US" w:eastAsia="zh-CN" w:bidi="ar"/>
        </w:rPr>
        <w:t>2026年5月17</w:t>
      </w:r>
      <w:bookmarkStart w:id="0" w:name="_GoBack"/>
      <w:bookmarkEnd w:id="0"/>
      <w:r>
        <w:rPr>
          <w:rFonts w:hint="eastAsia" w:ascii="仿宋_GB2312" w:hAnsi="宋体" w:eastAsia="仿宋_GB2312" w:cs="仿宋_GB2312"/>
          <w:color w:val="000000"/>
          <w:kern w:val="0"/>
          <w:sz w:val="32"/>
          <w:szCs w:val="32"/>
          <w:lang w:val="en-US" w:eastAsia="zh-CN" w:bidi="ar"/>
        </w:rPr>
        <w:t>日前将报名表及相关证明材料发送至邮箱</w:t>
      </w:r>
      <w:r>
        <w:rPr>
          <w:rFonts w:hint="eastAsia" w:ascii="仿宋_GB2312" w:hAnsi="宋体" w:eastAsia="仿宋_GB2312" w:cs="仿宋_GB2312"/>
          <w:color w:val="000000"/>
          <w:kern w:val="0"/>
          <w:sz w:val="32"/>
          <w:szCs w:val="32"/>
          <w:lang w:val="en-US" w:eastAsia="zh-CN" w:bidi="ar"/>
        </w:rPr>
        <w:fldChar w:fldCharType="begin"/>
      </w:r>
      <w:r>
        <w:rPr>
          <w:rFonts w:hint="eastAsia" w:ascii="仿宋_GB2312" w:hAnsi="宋体" w:eastAsia="仿宋_GB2312" w:cs="仿宋_GB2312"/>
          <w:color w:val="000000"/>
          <w:kern w:val="0"/>
          <w:sz w:val="32"/>
          <w:szCs w:val="32"/>
          <w:lang w:val="en-US" w:eastAsia="zh-CN" w:bidi="ar"/>
        </w:rPr>
        <w:instrText xml:space="preserve"> HYPERLINK "mailto:13821646587@163.com" </w:instrText>
      </w:r>
      <w:r>
        <w:rPr>
          <w:rFonts w:hint="eastAsia" w:ascii="仿宋_GB2312" w:hAnsi="宋体" w:eastAsia="仿宋_GB2312" w:cs="仿宋_GB2312"/>
          <w:color w:val="000000"/>
          <w:kern w:val="0"/>
          <w:sz w:val="32"/>
          <w:szCs w:val="32"/>
          <w:lang w:val="en-US" w:eastAsia="zh-CN" w:bidi="ar"/>
        </w:rPr>
        <w:fldChar w:fldCharType="separate"/>
      </w:r>
      <w:r>
        <w:rPr>
          <w:rStyle w:val="10"/>
          <w:rFonts w:hint="eastAsia" w:ascii="仿宋_GB2312" w:hAnsi="宋体" w:eastAsia="仿宋_GB2312" w:cs="仿宋_GB2312"/>
          <w:kern w:val="0"/>
          <w:sz w:val="32"/>
          <w:szCs w:val="32"/>
          <w:lang w:val="en-US" w:eastAsia="zh-CN" w:bidi="ar"/>
        </w:rPr>
        <w:t>542358498@qq.com</w:t>
      </w:r>
      <w:r>
        <w:rPr>
          <w:rFonts w:hint="eastAsia" w:ascii="仿宋_GB2312" w:hAnsi="宋体" w:eastAsia="仿宋_GB2312" w:cs="仿宋_GB2312"/>
          <w:color w:val="000000"/>
          <w:kern w:val="0"/>
          <w:sz w:val="32"/>
          <w:szCs w:val="32"/>
          <w:lang w:val="en-US" w:eastAsia="zh-CN" w:bidi="ar"/>
        </w:rPr>
        <w:fldChar w:fldCharType="end"/>
      </w:r>
      <w:r>
        <w:rPr>
          <w:rFonts w:hint="eastAsia" w:ascii="仿宋_GB2312" w:hAnsi="宋体" w:eastAsia="仿宋_GB2312" w:cs="仿宋_GB2312"/>
          <w:color w:val="000000"/>
          <w:kern w:val="0"/>
          <w:sz w:val="32"/>
          <w:szCs w:val="32"/>
          <w:lang w:val="en-US" w:eastAsia="zh-CN" w:bidi="ar"/>
        </w:rPr>
        <w:t xml:space="preserve"> ，</w:t>
      </w:r>
      <w:r>
        <w:rPr>
          <w:rFonts w:hint="eastAsia" w:ascii="仿宋_GB2312" w:hAnsi="仿宋_GB2312" w:eastAsia="仿宋_GB2312" w:cs="仿宋_GB2312"/>
          <w:color w:val="333333"/>
          <w:sz w:val="32"/>
          <w:szCs w:val="32"/>
          <w:shd w:val="clear" w:color="auto" w:fill="FFFFFF"/>
        </w:rPr>
        <w:t>邮件主题命名为“</w:t>
      </w:r>
      <w:r>
        <w:rPr>
          <w:rFonts w:hint="eastAsia" w:ascii="仿宋_GB2312" w:hAnsi="宋体" w:eastAsia="仿宋_GB2312" w:cs="仿宋_GB2312"/>
          <w:b w:val="0"/>
          <w:bCs w:val="0"/>
          <w:color w:val="000000"/>
          <w:kern w:val="0"/>
          <w:sz w:val="32"/>
          <w:szCs w:val="32"/>
          <w:lang w:val="en-US" w:eastAsia="zh-CN" w:bidi="ar"/>
        </w:rPr>
        <w:t>智慧城市管理技术微专业</w:t>
      </w:r>
      <w:r>
        <w:rPr>
          <w:rFonts w:hint="eastAsia" w:ascii="仿宋_GB2312" w:hAnsi="仿宋_GB2312" w:eastAsia="仿宋_GB2312" w:cs="仿宋_GB2312"/>
          <w:color w:val="333333"/>
          <w:sz w:val="32"/>
          <w:szCs w:val="32"/>
          <w:shd w:val="clear" w:color="auto" w:fill="FFFFFF"/>
        </w:rPr>
        <w:t>+姓名+专业+学号”，由智慧建造学院负责审核报名材料。</w:t>
      </w:r>
    </w:p>
    <w:p w14:paraId="624080C6">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二</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）选拔方式</w:t>
      </w:r>
    </w:p>
    <w:p w14:paraId="2612F710">
      <w:pPr>
        <w:pStyle w:val="11"/>
        <w:spacing w:line="560" w:lineRule="exact"/>
        <w:ind w:firstLine="640" w:firstLineChars="200"/>
        <w:rPr>
          <w:rFonts w:hint="eastAsia" w:ascii="仿宋_GB2312" w:hAnsi="仿宋_GB2312" w:eastAsia="仿宋_GB2312" w:cs="仿宋_GB2312"/>
          <w:color w:val="333333"/>
          <w:sz w:val="32"/>
          <w:szCs w:val="32"/>
          <w:shd w:val="clear" w:color="auto" w:fill="FFFFFF"/>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智慧建造学院组织智慧城市管理技术专业负责人及骨干教师审核学生报名材料，</w:t>
      </w:r>
      <w:r>
        <w:rPr>
          <w:rFonts w:hint="eastAsia" w:ascii="仿宋_GB2312" w:hAnsi="仿宋_GB2312" w:eastAsia="仿宋_GB2312" w:cs="仿宋_GB2312"/>
          <w:color w:val="333333"/>
          <w:sz w:val="32"/>
          <w:szCs w:val="32"/>
          <w:shd w:val="clear" w:color="auto" w:fill="FFFFFF"/>
        </w:rPr>
        <w:t>根据学生报名材料、主修专业学业情况等进行综合审核选拔，确定录取名单。</w:t>
      </w:r>
    </w:p>
    <w:p w14:paraId="209C5F6B">
      <w:pPr>
        <w:pStyle w:val="11"/>
        <w:spacing w:before="0" w:after="0" w:line="560" w:lineRule="exact"/>
        <w:ind w:firstLine="640" w:firstLineChars="200"/>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color w:val="333333"/>
          <w:sz w:val="32"/>
          <w:szCs w:val="32"/>
          <w:shd w:val="clear" w:color="auto" w:fill="FFFFFF"/>
        </w:rPr>
        <w:t>录取名单将于2026年</w:t>
      </w:r>
      <w:r>
        <w:rPr>
          <w:rFonts w:hint="eastAsia" w:ascii="仿宋_GB2312" w:hAnsi="仿宋_GB2312" w:eastAsia="仿宋_GB2312" w:cs="仿宋_GB2312"/>
          <w:color w:val="333333"/>
          <w:sz w:val="32"/>
          <w:szCs w:val="32"/>
          <w:shd w:val="clear" w:color="auto" w:fill="FFFFFF"/>
          <w:lang w:val="en-US" w:eastAsia="zh-CN"/>
        </w:rPr>
        <w:t>5</w:t>
      </w:r>
      <w:r>
        <w:rPr>
          <w:rFonts w:hint="eastAsia" w:ascii="仿宋_GB2312" w:hAnsi="仿宋_GB2312" w:eastAsia="仿宋_GB2312" w:cs="仿宋_GB2312"/>
          <w:color w:val="333333"/>
          <w:sz w:val="32"/>
          <w:szCs w:val="32"/>
          <w:shd w:val="clear" w:color="auto" w:fill="FFFFFF"/>
        </w:rPr>
        <w:t>月</w:t>
      </w:r>
      <w:r>
        <w:rPr>
          <w:rFonts w:hint="eastAsia" w:ascii="仿宋_GB2312" w:hAnsi="仿宋_GB2312" w:eastAsia="仿宋_GB2312" w:cs="仿宋_GB2312"/>
          <w:color w:val="333333"/>
          <w:sz w:val="32"/>
          <w:szCs w:val="32"/>
          <w:shd w:val="clear" w:color="auto" w:fill="FFFFFF"/>
          <w:lang w:val="en-US" w:eastAsia="zh-CN"/>
        </w:rPr>
        <w:t>25</w:t>
      </w:r>
      <w:r>
        <w:rPr>
          <w:rFonts w:hint="eastAsia" w:ascii="仿宋_GB2312" w:hAnsi="仿宋_GB2312" w:eastAsia="仿宋_GB2312" w:cs="仿宋_GB2312"/>
          <w:color w:val="333333"/>
          <w:sz w:val="32"/>
          <w:szCs w:val="32"/>
          <w:shd w:val="clear" w:color="auto" w:fill="FFFFFF"/>
        </w:rPr>
        <w:t>日—</w:t>
      </w:r>
      <w:r>
        <w:rPr>
          <w:rFonts w:hint="eastAsia" w:ascii="仿宋_GB2312" w:hAnsi="仿宋_GB2312" w:eastAsia="仿宋_GB2312" w:cs="仿宋_GB2312"/>
          <w:color w:val="333333"/>
          <w:sz w:val="32"/>
          <w:szCs w:val="32"/>
          <w:shd w:val="clear" w:color="auto" w:fill="FFFFFF"/>
          <w:lang w:val="en-US" w:eastAsia="zh-CN"/>
        </w:rPr>
        <w:t>5</w:t>
      </w:r>
      <w:r>
        <w:rPr>
          <w:rFonts w:hint="eastAsia" w:ascii="仿宋_GB2312" w:hAnsi="仿宋_GB2312" w:eastAsia="仿宋_GB2312" w:cs="仿宋_GB2312"/>
          <w:color w:val="333333"/>
          <w:sz w:val="32"/>
          <w:szCs w:val="32"/>
          <w:shd w:val="clear" w:color="auto" w:fill="FFFFFF"/>
        </w:rPr>
        <w:t>月</w:t>
      </w:r>
      <w:r>
        <w:rPr>
          <w:rFonts w:hint="eastAsia" w:ascii="仿宋_GB2312" w:hAnsi="仿宋_GB2312" w:eastAsia="仿宋_GB2312" w:cs="仿宋_GB2312"/>
          <w:color w:val="333333"/>
          <w:sz w:val="32"/>
          <w:szCs w:val="32"/>
          <w:shd w:val="clear" w:color="auto" w:fill="FFFFFF"/>
          <w:lang w:val="en-US" w:eastAsia="zh-CN"/>
        </w:rPr>
        <w:t>27</w:t>
      </w:r>
      <w:r>
        <w:rPr>
          <w:rFonts w:hint="eastAsia" w:ascii="仿宋_GB2312" w:hAnsi="仿宋_GB2312" w:eastAsia="仿宋_GB2312" w:cs="仿宋_GB2312"/>
          <w:color w:val="333333"/>
          <w:sz w:val="32"/>
          <w:szCs w:val="32"/>
          <w:shd w:val="clear" w:color="auto" w:fill="FFFFFF"/>
        </w:rPr>
        <w:t>日在学校教务处官网进行公示，公示无异议后正式入学。</w:t>
      </w:r>
    </w:p>
    <w:p w14:paraId="3F497198">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三</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）咨询联系</w:t>
      </w:r>
    </w:p>
    <w:p w14:paraId="05BC534C">
      <w:pPr>
        <w:pStyle w:val="11"/>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杨</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老师：</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13682002596</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姜</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老师：</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13920655909（办公时间：周一至周五 8:30-16:30）</w:t>
      </w:r>
    </w:p>
    <w:p w14:paraId="4F4E2F6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Style w:val="9"/>
          <w:rFonts w:hint="eastAsia" w:ascii="Times New Roman" w:hAnsi="Times New Roman" w:eastAsia="黑体" w:cs="Times New Roman"/>
          <w:b/>
          <w:bCs/>
          <w:i w:val="0"/>
          <w:iCs w:val="0"/>
          <w:caps w:val="0"/>
          <w:color w:val="333333"/>
          <w:spacing w:val="0"/>
          <w:sz w:val="32"/>
          <w:szCs w:val="32"/>
          <w:shd w:val="clear" w:fill="FFFFFF"/>
          <w:lang w:eastAsia="zh-CN"/>
        </w:rPr>
      </w:pPr>
      <w:r>
        <w:rPr>
          <w:rStyle w:val="9"/>
          <w:rFonts w:hint="eastAsia" w:ascii="Times New Roman" w:hAnsi="Times New Roman" w:eastAsia="黑体" w:cs="Times New Roman"/>
          <w:b/>
          <w:bCs/>
          <w:i w:val="0"/>
          <w:iCs w:val="0"/>
          <w:caps w:val="0"/>
          <w:color w:val="333333"/>
          <w:spacing w:val="0"/>
          <w:sz w:val="32"/>
          <w:szCs w:val="32"/>
          <w:shd w:val="clear" w:fill="FFFFFF"/>
          <w:lang w:val="en-US" w:eastAsia="zh-CN"/>
        </w:rPr>
        <w:t>五</w:t>
      </w:r>
      <w:r>
        <w:rPr>
          <w:rStyle w:val="9"/>
          <w:rFonts w:hint="default" w:ascii="Times New Roman" w:hAnsi="Times New Roman" w:eastAsia="黑体" w:cs="Times New Roman"/>
          <w:b/>
          <w:bCs/>
          <w:i w:val="0"/>
          <w:iCs w:val="0"/>
          <w:caps w:val="0"/>
          <w:color w:val="333333"/>
          <w:spacing w:val="0"/>
          <w:sz w:val="32"/>
          <w:szCs w:val="32"/>
          <w:shd w:val="clear" w:fill="FFFFFF"/>
          <w:lang w:eastAsia="zh-CN"/>
        </w:rPr>
        <w:t>、报名注意事项</w:t>
      </w:r>
    </w:p>
    <w:p w14:paraId="16E5C1E0">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1.</w:t>
      </w:r>
      <w:r>
        <w:rPr>
          <w:rFonts w:hint="default" w:ascii="仿宋_GB2312" w:hAnsi="仿宋_GB2312" w:eastAsia="仿宋_GB2312" w:cs="仿宋_GB2312"/>
          <w:i w:val="0"/>
          <w:iCs w:val="0"/>
          <w:caps w:val="0"/>
          <w:color w:val="333333"/>
          <w:spacing w:val="0"/>
          <w:sz w:val="32"/>
          <w:szCs w:val="32"/>
          <w:shd w:val="clear" w:fill="FFFFFF"/>
          <w:lang w:eastAsia="zh-CN"/>
        </w:rPr>
        <w:t>学生应综合考虑自身情况，在学有余力、不影响主修专业的基础上进行选修。</w:t>
      </w:r>
    </w:p>
    <w:p w14:paraId="620B4BF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2.</w:t>
      </w:r>
      <w:r>
        <w:rPr>
          <w:rFonts w:hint="default" w:ascii="仿宋_GB2312" w:hAnsi="仿宋_GB2312" w:eastAsia="仿宋_GB2312" w:cs="仿宋_GB2312"/>
          <w:i w:val="0"/>
          <w:iCs w:val="0"/>
          <w:caps w:val="0"/>
          <w:color w:val="333333"/>
          <w:spacing w:val="0"/>
          <w:sz w:val="32"/>
          <w:szCs w:val="32"/>
          <w:shd w:val="clear" w:fill="FFFFFF"/>
          <w:lang w:eastAsia="zh-CN"/>
        </w:rPr>
        <w:t>修读微专业的学生须参加该专业所有课程的学习和考核，微专业课程不允许免修或免听，成绩不合格的可参照课程考核管理办法进行补考或重修。微专业的课程考核结果不影响主修专业。</w:t>
      </w:r>
    </w:p>
    <w:p w14:paraId="440E8ECA">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3.</w:t>
      </w:r>
      <w:r>
        <w:rPr>
          <w:rFonts w:hint="default" w:ascii="仿宋_GB2312" w:hAnsi="仿宋_GB2312" w:eastAsia="仿宋_GB2312" w:cs="仿宋_GB2312"/>
          <w:i w:val="0"/>
          <w:iCs w:val="0"/>
          <w:caps w:val="0"/>
          <w:color w:val="333333"/>
          <w:spacing w:val="0"/>
          <w:sz w:val="32"/>
          <w:szCs w:val="32"/>
          <w:shd w:val="clear" w:fill="FFFFFF"/>
          <w:lang w:eastAsia="zh-CN"/>
        </w:rPr>
        <w:t>微专业学习期间</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default" w:ascii="仿宋_GB2312" w:hAnsi="仿宋_GB2312" w:eastAsia="仿宋_GB2312" w:cs="仿宋_GB2312"/>
          <w:i w:val="0"/>
          <w:iCs w:val="0"/>
          <w:caps w:val="0"/>
          <w:color w:val="333333"/>
          <w:spacing w:val="0"/>
          <w:sz w:val="32"/>
          <w:szCs w:val="32"/>
          <w:shd w:val="clear" w:fill="FFFFFF"/>
          <w:lang w:eastAsia="zh-CN"/>
        </w:rPr>
        <w:t>学生因本人原因终止微专业学习，并超出弹性修业年限，已修读且成绩合格的微专业课程学分作废。</w:t>
      </w:r>
    </w:p>
    <w:p w14:paraId="562FDAAD">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六、课程简介</w:t>
      </w:r>
    </w:p>
    <w:p w14:paraId="402CC75D">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1.《智慧城市导论与政策》：本课程作为智慧城市管理技术的入门与政策基础课，系统讲解智慧城市的发展背景、顶层设计、国家标准及政策法规。通过国内外典型案例分析，使学生理解智慧城市的整体架构、运营模式及合规要求，培养政策解读与宏观分析能力。</w:t>
      </w:r>
    </w:p>
    <w:p w14:paraId="04DDF002">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2.《城市信息模型（CIM）技术与应用》：核心技能课程，聚焦CIM建模与可视化应用。教授学生使用专业软件创建城市地上地下信息模型，掌握模型渲染、虚拟漫游及与GIS系统的集成方法。结合城市规划审批、应急消防模拟等真实场景，开展项目式实训，培养学生运用CIM辅助城市精细化管理的能力。</w:t>
      </w:r>
    </w:p>
    <w:p w14:paraId="0241BCB0">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3.《地理信息系统（GIS）技术与应用》：专业主干课程，重点训练GIS软件操作与空间数据分析。内容包括空间数据采集与编辑、地图制图、缓冲区分析、网络分析等，结合城市管理实例进行综合实训，使学生具备利用GIS技术进行城市数据管理与决策支持的能力。</w:t>
      </w:r>
    </w:p>
    <w:p w14:paraId="731FEE47">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4.《城市社区网格化管理实训》：校企协同实战课程，联合滨海新区智慧城市运营中心及典型社区，开展真实网格化管理实训。学生将使用城市管理数字化平台，完成单元网格巡查、事件上报、立案派遣、核查结案等全流程任务，同时参与社区服务项目设计与居民沟通，全面提升城市基层治理与公共服务能力，实现从校园到岗位的无缝衔接。</w:t>
      </w:r>
    </w:p>
    <w:sectPr>
      <w:pgSz w:w="11906" w:h="16838"/>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6A6DC6-BB04-4C7C-A385-F5B735E9D2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B1354CF0-5889-4BC6-A03E-947EF6AE442F}"/>
  </w:font>
  <w:font w:name="仿宋_GB2312">
    <w:altName w:val="仿宋"/>
    <w:panose1 w:val="02010609030101010101"/>
    <w:charset w:val="86"/>
    <w:family w:val="auto"/>
    <w:pitch w:val="default"/>
    <w:sig w:usb0="00000000" w:usb1="00000000" w:usb2="00000000" w:usb3="00000000" w:csb0="00040000" w:csb1="00000000"/>
    <w:embedRegular r:id="rId3" w:fontKey="{29EF7372-0A56-4199-9006-2081473E245C}"/>
  </w:font>
  <w:font w:name="仿宋">
    <w:panose1 w:val="02010609060101010101"/>
    <w:charset w:val="86"/>
    <w:family w:val="auto"/>
    <w:pitch w:val="default"/>
    <w:sig w:usb0="800002BF" w:usb1="38CF7CFA" w:usb2="00000016" w:usb3="00000000" w:csb0="00040001" w:csb1="00000000"/>
    <w:embedRegular r:id="rId4" w:fontKey="{D8427D2F-F439-41DD-8FC4-4FBE224D324C}"/>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5B290D"/>
    <w:rsid w:val="266E2F67"/>
    <w:rsid w:val="293811B0"/>
    <w:rsid w:val="48695F3A"/>
    <w:rsid w:val="5C667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4">
    <w:name w:val="heading 2"/>
    <w:basedOn w:val="1"/>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5">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2">
    <w:name w:val="heading 5"/>
    <w:basedOn w:val="1"/>
    <w:next w:val="1"/>
    <w:qFormat/>
    <w:uiPriority w:val="0"/>
    <w:pPr>
      <w:spacing w:before="240" w:after="120" w:line="288" w:lineRule="auto"/>
      <w:ind w:left="0"/>
      <w:jc w:val="left"/>
      <w:outlineLvl w:val="4"/>
    </w:pPr>
    <w:rPr>
      <w:rFonts w:ascii="Arial" w:hAnsi="Arial" w:eastAsia="等线" w:cs="Arial"/>
      <w:b/>
      <w:bCs/>
      <w:sz w:val="24"/>
      <w:szCs w:val="2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unhideWhenUsed/>
    <w:qFormat/>
    <w:uiPriority w:val="99"/>
    <w:rPr>
      <w:color w:val="0563C1"/>
      <w:u w:val="single"/>
    </w:rPr>
  </w:style>
  <w:style w:type="paragraph" w:customStyle="1" w:styleId="11">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2378</Words>
  <Characters>2528</Characters>
  <Lines>0</Lines>
  <Paragraphs>0</Paragraphs>
  <TotalTime>2</TotalTime>
  <ScaleCrop>false</ScaleCrop>
  <LinksUpToDate>false</LinksUpToDate>
  <CharactersWithSpaces>2555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2026-04-16T01:07:00Z</dcterms:created>
  <dc:creator>晨晨</dc:creator>
  <cp:lastModifiedBy>盹儿娘</cp:lastModifiedBy>
  <dcterms:modified xsi:type="dcterms:W3CDTF">2026-05-11T03:35:15Z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eyJoZGlkIjoiMDY2MzIzOTI3NTllNTI4YTg4ZmRlZWQwOThkNTYzNGMiLCJ1c2VySWQiOiIzNTAyMjE4OTIifQ==</vt:lpwstr>
  </property>
  <property fmtid="{D5CDD505-2E9C-101B-9397-08002B2CF9AE}" pid="4" name="ICV">
    <vt:lpwstr>4D7FCDF3FC7C452280C847CE61D75262_13</vt:lpwstr>
  </property>
</Properties>
</file>